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B6E4" w14:textId="77777777" w:rsidR="00AE4D86" w:rsidRPr="00AE4D86" w:rsidRDefault="00AE4D86" w:rsidP="00AE4D86">
      <w:pPr>
        <w:pStyle w:val="berschrift1"/>
        <w:spacing w:before="0" w:beforeAutospacing="0" w:after="0" w:afterAutospacing="0"/>
        <w:rPr>
          <w:lang w:val="it-IT"/>
        </w:rPr>
      </w:pPr>
      <w:r w:rsidRPr="00AE4D86">
        <w:rPr>
          <w:lang w:val="it-IT"/>
        </w:rPr>
        <w:t>Zone residenziali</w:t>
      </w:r>
    </w:p>
    <w:p w14:paraId="23A1388A" w14:textId="77777777" w:rsidR="00AE4D86" w:rsidRDefault="00AE4D86" w:rsidP="00AE4D86">
      <w:pPr>
        <w:pStyle w:val="StandardWeb"/>
        <w:spacing w:before="0" w:beforeAutospacing="0" w:after="0" w:afterAutospacing="0"/>
        <w:rPr>
          <w:lang w:val="it-IT"/>
        </w:rPr>
      </w:pPr>
    </w:p>
    <w:p w14:paraId="5B1EDF00" w14:textId="0C86FDA5" w:rsidR="009B2CF0" w:rsidRPr="0056408F" w:rsidRDefault="00AE4D86" w:rsidP="00151467">
      <w:pPr>
        <w:pStyle w:val="StandardWeb"/>
        <w:spacing w:before="0" w:beforeAutospacing="0" w:after="0" w:afterAutospacing="0"/>
        <w:jc w:val="both"/>
        <w:rPr>
          <w:lang w:val="it-IT"/>
        </w:rPr>
      </w:pPr>
      <w:r w:rsidRPr="00AE4D86">
        <w:rPr>
          <w:lang w:val="it-IT"/>
        </w:rPr>
        <w:t>Alle aree destinate all'edilizia abitativa agevolata sono ammessi l'IPES e le persone fisiche singole o associate in cooperative, ammissibili alle agevolazioni di cui all'articolo 2 dell'</w:t>
      </w:r>
      <w:hyperlink r:id="rId5" w:tooltip="Ordinamento dell'edilizia agevolata" w:history="1">
        <w:r w:rsidRPr="00AE4D86">
          <w:rPr>
            <w:rStyle w:val="Hyperlink"/>
            <w:lang w:val="it-IT"/>
          </w:rPr>
          <w:t>ordinamento dell'edilizia abitativa agevolata</w:t>
        </w:r>
      </w:hyperlink>
      <w:r w:rsidRPr="00AE4D86">
        <w:rPr>
          <w:lang w:val="it-IT"/>
        </w:rPr>
        <w:t>.</w:t>
      </w:r>
      <w:r>
        <w:rPr>
          <w:lang w:val="it-IT"/>
        </w:rPr>
        <w:t xml:space="preserve"> </w:t>
      </w:r>
      <w:r w:rsidR="009B2CF0" w:rsidRPr="00EA60D5">
        <w:rPr>
          <w:lang w:val="it"/>
        </w:rPr>
        <w:t xml:space="preserve">Ulteriori informazioni e dettagli sono disponibili </w:t>
      </w:r>
      <w:r w:rsidR="0056408F" w:rsidRPr="0056408F">
        <w:rPr>
          <w:lang w:val="it-IT"/>
        </w:rPr>
        <w:t xml:space="preserve">sotto </w:t>
      </w:r>
      <w:hyperlink r:id="rId6" w:tooltip="provincia di bolzano costruire prima casa" w:history="1">
        <w:r w:rsidR="0056408F" w:rsidRPr="0056408F">
          <w:rPr>
            <w:rStyle w:val="Hyperlink"/>
            <w:lang w:val="it-IT"/>
          </w:rPr>
          <w:t>www.provincia.bz.it/costruire-abitare/edilizia-abitativa/ costruzione prima casa</w:t>
        </w:r>
      </w:hyperlink>
      <w:r w:rsidR="0056408F" w:rsidRPr="0056408F">
        <w:rPr>
          <w:lang w:val="it-IT"/>
        </w:rPr>
        <w:t>.</w:t>
      </w:r>
    </w:p>
    <w:p w14:paraId="1CA20E41" w14:textId="5342625F" w:rsidR="002D71E6" w:rsidRPr="00B41A63" w:rsidRDefault="002D71E6" w:rsidP="009B2CF0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5DE936BF" w14:textId="41495BB5" w:rsidR="0056408F" w:rsidRDefault="0056408F" w:rsidP="00151467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rFonts w:eastAsia="Times New Roman" w:cs="Times New Roman"/>
          <w:szCs w:val="24"/>
          <w:lang w:val="it-IT" w:eastAsia="de-DE"/>
        </w:rPr>
        <w:t>Secondo il</w:t>
      </w:r>
      <w:r w:rsidRPr="0056408F">
        <w:rPr>
          <w:rFonts w:eastAsia="Times New Roman" w:cs="Times New Roman"/>
          <w:szCs w:val="24"/>
          <w:lang w:val="it-IT" w:eastAsia="de-DE"/>
        </w:rPr>
        <w:t xml:space="preserve"> regolamento per l’assegnazione delle aree destinate all’edilizia abitativa agevolata</w:t>
      </w:r>
      <w:r>
        <w:rPr>
          <w:rFonts w:eastAsia="Times New Roman" w:cs="Times New Roman"/>
          <w:szCs w:val="24"/>
          <w:lang w:val="it-IT" w:eastAsia="de-DE"/>
        </w:rPr>
        <w:t xml:space="preserve"> del Comune di Vand</w:t>
      </w:r>
      <w:r w:rsidR="00151467">
        <w:rPr>
          <w:rFonts w:eastAsia="Times New Roman" w:cs="Times New Roman"/>
          <w:szCs w:val="24"/>
          <w:lang w:val="it-IT" w:eastAsia="de-DE"/>
        </w:rPr>
        <w:t>o</w:t>
      </w:r>
      <w:r>
        <w:rPr>
          <w:rFonts w:eastAsia="Times New Roman" w:cs="Times New Roman"/>
          <w:szCs w:val="24"/>
          <w:lang w:val="it-IT" w:eastAsia="de-DE"/>
        </w:rPr>
        <w:t>ies</w:t>
      </w:r>
      <w:r w:rsidRPr="0056408F">
        <w:rPr>
          <w:rFonts w:eastAsia="Times New Roman" w:cs="Times New Roman"/>
          <w:szCs w:val="24"/>
          <w:lang w:val="it-IT" w:eastAsia="de-DE"/>
        </w:rPr>
        <w:t xml:space="preserve"> viene formata apposita graduatoria</w:t>
      </w:r>
      <w:r>
        <w:rPr>
          <w:rFonts w:eastAsia="Times New Roman" w:cs="Times New Roman"/>
          <w:szCs w:val="24"/>
          <w:lang w:val="it-IT" w:eastAsia="de-DE"/>
        </w:rPr>
        <w:t xml:space="preserve"> </w:t>
      </w:r>
      <w:r w:rsidRPr="0056408F">
        <w:rPr>
          <w:rFonts w:eastAsia="Times New Roman" w:cs="Times New Roman"/>
          <w:szCs w:val="24"/>
          <w:lang w:val="it-IT" w:eastAsia="de-DE"/>
        </w:rPr>
        <w:t>entro il 30 giugno e 31 dicembre di ogni</w:t>
      </w:r>
      <w:r>
        <w:rPr>
          <w:rFonts w:eastAsia="Times New Roman" w:cs="Times New Roman"/>
          <w:szCs w:val="24"/>
          <w:lang w:val="it-IT" w:eastAsia="de-DE"/>
        </w:rPr>
        <w:t xml:space="preserve"> anno. L’</w:t>
      </w:r>
      <w:r w:rsidRPr="0056408F">
        <w:rPr>
          <w:rFonts w:eastAsia="Times New Roman" w:cs="Times New Roman"/>
          <w:szCs w:val="24"/>
          <w:lang w:val="it-IT" w:eastAsia="de-DE"/>
        </w:rPr>
        <w:t>articolo 8 del regolamento per l’assegnazione delle aree destinate all’edilizia abitativa agevolata prevede che l’assegnazione di aree può essere deliberata di volta in volta qualora a graduatoria esaurita fossero disponibili ulteriori aree per l’assegnazione purché i richiedenti raggiungono almeno 18 punti;</w:t>
      </w:r>
    </w:p>
    <w:p w14:paraId="569F8083" w14:textId="401216B4" w:rsidR="0056408F" w:rsidRDefault="0056408F" w:rsidP="009B2CF0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10FDCD90" w14:textId="77777777" w:rsidR="0056408F" w:rsidRPr="00B41A63" w:rsidRDefault="0056408F" w:rsidP="009B2CF0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3C8B60CC" w14:textId="452CB4E0" w:rsidR="00EA60D5" w:rsidRPr="00B41A63" w:rsidRDefault="00437C6A" w:rsidP="009B2CF0">
      <w:pPr>
        <w:jc w:val="both"/>
        <w:rPr>
          <w:rFonts w:eastAsia="Times New Roman" w:cs="Times New Roman"/>
          <w:b/>
          <w:szCs w:val="24"/>
          <w:lang w:val="it-IT" w:eastAsia="de-DE"/>
        </w:rPr>
      </w:pPr>
      <w:r w:rsidRPr="00BF6701">
        <w:rPr>
          <w:b/>
          <w:szCs w:val="24"/>
          <w:lang w:val="it"/>
        </w:rPr>
        <w:t xml:space="preserve">Zone residenziali </w:t>
      </w:r>
      <w:r w:rsidR="00DA2CAA">
        <w:rPr>
          <w:b/>
          <w:szCs w:val="24"/>
          <w:lang w:val="it"/>
        </w:rPr>
        <w:t>disponibili</w:t>
      </w:r>
      <w:r w:rsidRPr="00BF6701">
        <w:rPr>
          <w:b/>
          <w:szCs w:val="24"/>
          <w:lang w:val="it"/>
        </w:rPr>
        <w:t>:</w:t>
      </w:r>
    </w:p>
    <w:p w14:paraId="586AF0B5" w14:textId="77777777" w:rsidR="002D71E6" w:rsidRPr="00B41A63" w:rsidRDefault="002D71E6" w:rsidP="009B2CF0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0F7161F5" w14:textId="1D51346A" w:rsidR="00437C6A" w:rsidRPr="00B41A63" w:rsidRDefault="00DA2CAA" w:rsidP="009B2CF0">
      <w:pPr>
        <w:jc w:val="both"/>
        <w:rPr>
          <w:rFonts w:eastAsia="Times New Roman" w:cs="Times New Roman"/>
          <w:b/>
          <w:szCs w:val="24"/>
          <w:u w:val="single"/>
          <w:lang w:val="it-IT" w:eastAsia="de-DE"/>
        </w:rPr>
      </w:pPr>
      <w:r>
        <w:rPr>
          <w:b/>
          <w:szCs w:val="24"/>
          <w:u w:val="single"/>
          <w:lang w:val="it"/>
        </w:rPr>
        <w:t>Zona d’espansione</w:t>
      </w:r>
      <w:r w:rsidR="00437C6A" w:rsidRPr="00BF6701">
        <w:rPr>
          <w:b/>
          <w:szCs w:val="24"/>
          <w:u w:val="single"/>
          <w:lang w:val="it"/>
        </w:rPr>
        <w:t xml:space="preserve"> C1 – "</w:t>
      </w:r>
      <w:proofErr w:type="spellStart"/>
      <w:r w:rsidR="00437C6A" w:rsidRPr="00BF6701">
        <w:rPr>
          <w:b/>
          <w:szCs w:val="24"/>
          <w:u w:val="single"/>
          <w:lang w:val="it"/>
        </w:rPr>
        <w:t>Töpsl</w:t>
      </w:r>
      <w:proofErr w:type="spellEnd"/>
      <w:r w:rsidR="00437C6A" w:rsidRPr="00BF6701">
        <w:rPr>
          <w:b/>
          <w:szCs w:val="24"/>
          <w:u w:val="single"/>
          <w:lang w:val="it"/>
        </w:rPr>
        <w:t xml:space="preserve">" a </w:t>
      </w:r>
      <w:r>
        <w:rPr>
          <w:b/>
          <w:szCs w:val="24"/>
          <w:u w:val="single"/>
          <w:lang w:val="it"/>
        </w:rPr>
        <w:t>Vandoies di Sopra</w:t>
      </w:r>
    </w:p>
    <w:p w14:paraId="58FBC46A" w14:textId="7EBEE659" w:rsidR="002D71E6" w:rsidRPr="00B41A63" w:rsidRDefault="002D71E6" w:rsidP="009B2CF0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7C97D2C6" w14:textId="1B6909DC" w:rsidR="0040656A" w:rsidRDefault="0040656A" w:rsidP="009B2CF0">
      <w:pPr>
        <w:jc w:val="both"/>
        <w:rPr>
          <w:rFonts w:eastAsia="Times New Roman" w:cs="Times New Roman"/>
          <w:szCs w:val="24"/>
          <w:lang w:eastAsia="de-DE"/>
        </w:rPr>
      </w:pPr>
      <w:r>
        <w:rPr>
          <w:noProof/>
        </w:rPr>
        <w:drawing>
          <wp:inline distT="0" distB="0" distL="0" distR="0" wp14:anchorId="27ABF5B8" wp14:editId="0AFE618C">
            <wp:extent cx="3371850" cy="399097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1C583" w14:textId="77777777" w:rsidR="0040656A" w:rsidRDefault="0040656A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5274729C" w14:textId="77777777" w:rsidR="0040656A" w:rsidRDefault="0040656A" w:rsidP="009B2CF0">
      <w:pPr>
        <w:jc w:val="both"/>
        <w:rPr>
          <w:rFonts w:eastAsia="Times New Roman" w:cs="Times New Roman"/>
          <w:szCs w:val="24"/>
          <w:lang w:eastAsia="de-DE"/>
        </w:rPr>
      </w:pPr>
    </w:p>
    <w:p w14:paraId="2690A86A" w14:textId="5BF1CC46" w:rsidR="00437C6A" w:rsidRPr="00B41A63" w:rsidRDefault="00437C6A" w:rsidP="009B2CF0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szCs w:val="24"/>
          <w:lang w:val="it"/>
        </w:rPr>
        <w:t>La zona si trova nel</w:t>
      </w:r>
      <w:r w:rsidR="007F526C">
        <w:rPr>
          <w:szCs w:val="24"/>
          <w:lang w:val="it"/>
        </w:rPr>
        <w:t xml:space="preserve">la località </w:t>
      </w:r>
      <w:r w:rsidR="00B45696">
        <w:rPr>
          <w:szCs w:val="24"/>
          <w:lang w:val="it"/>
        </w:rPr>
        <w:t>Vandoies di Sopra</w:t>
      </w:r>
      <w:r>
        <w:rPr>
          <w:szCs w:val="24"/>
          <w:lang w:val="it"/>
        </w:rPr>
        <w:t xml:space="preserve">. Secondo il piano di </w:t>
      </w:r>
      <w:r w:rsidR="00B45696">
        <w:rPr>
          <w:szCs w:val="24"/>
          <w:lang w:val="it"/>
        </w:rPr>
        <w:t xml:space="preserve">attuazione questa </w:t>
      </w:r>
      <w:r>
        <w:rPr>
          <w:szCs w:val="24"/>
          <w:lang w:val="it"/>
        </w:rPr>
        <w:t xml:space="preserve">zona è divisa in 3 lotti, di cui 2 sono riservati all'edilizia </w:t>
      </w:r>
      <w:r w:rsidR="00B45696">
        <w:rPr>
          <w:szCs w:val="24"/>
          <w:lang w:val="it"/>
        </w:rPr>
        <w:t xml:space="preserve">agevolata </w:t>
      </w:r>
      <w:r>
        <w:rPr>
          <w:szCs w:val="24"/>
          <w:lang w:val="it"/>
        </w:rPr>
        <w:t>e</w:t>
      </w:r>
      <w:r w:rsidR="00B45696">
        <w:rPr>
          <w:szCs w:val="24"/>
          <w:lang w:val="it"/>
        </w:rPr>
        <w:t>d</w:t>
      </w:r>
      <w:r>
        <w:rPr>
          <w:szCs w:val="24"/>
          <w:lang w:val="it"/>
        </w:rPr>
        <w:t xml:space="preserve"> 1 per l'edilizia </w:t>
      </w:r>
      <w:r w:rsidR="000B470A">
        <w:rPr>
          <w:szCs w:val="24"/>
          <w:lang w:val="it"/>
        </w:rPr>
        <w:t>libera</w:t>
      </w:r>
      <w:r>
        <w:rPr>
          <w:szCs w:val="24"/>
          <w:lang w:val="it"/>
        </w:rPr>
        <w:t xml:space="preserve">. </w:t>
      </w:r>
      <w:r w:rsidR="00BF6701">
        <w:rPr>
          <w:szCs w:val="24"/>
          <w:lang w:val="it"/>
        </w:rPr>
        <w:t>Attualmente</w:t>
      </w:r>
      <w:r w:rsidR="000B470A">
        <w:rPr>
          <w:szCs w:val="24"/>
          <w:lang w:val="it"/>
        </w:rPr>
        <w:t xml:space="preserve"> sono liberi</w:t>
      </w:r>
      <w:r w:rsidR="002D71E6">
        <w:rPr>
          <w:szCs w:val="24"/>
          <w:lang w:val="it"/>
        </w:rPr>
        <w:t xml:space="preserve"> entrambi i lotti </w:t>
      </w:r>
      <w:r w:rsidR="002E2ADA">
        <w:rPr>
          <w:szCs w:val="24"/>
          <w:lang w:val="it"/>
        </w:rPr>
        <w:t xml:space="preserve">GWB 1 e GWB 2 (vedi piano </w:t>
      </w:r>
      <w:r w:rsidR="002D2927">
        <w:rPr>
          <w:szCs w:val="24"/>
          <w:lang w:val="it"/>
        </w:rPr>
        <w:t>normativo</w:t>
      </w:r>
      <w:r w:rsidR="002E2ADA">
        <w:rPr>
          <w:szCs w:val="24"/>
          <w:lang w:val="it"/>
        </w:rPr>
        <w:t>)</w:t>
      </w:r>
      <w:r>
        <w:rPr>
          <w:lang w:val="it"/>
        </w:rPr>
        <w:t xml:space="preserve"> </w:t>
      </w:r>
      <w:r w:rsidR="002D71E6">
        <w:rPr>
          <w:szCs w:val="24"/>
          <w:lang w:val="it"/>
        </w:rPr>
        <w:t xml:space="preserve">per l'edilizia </w:t>
      </w:r>
      <w:r w:rsidR="002D2927">
        <w:rPr>
          <w:szCs w:val="24"/>
          <w:lang w:val="it"/>
        </w:rPr>
        <w:t>agevolata.</w:t>
      </w:r>
    </w:p>
    <w:p w14:paraId="1866E593" w14:textId="384E18E7" w:rsidR="002D71E6" w:rsidRPr="00B41A63" w:rsidRDefault="002D71E6" w:rsidP="009B2CF0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5D76B650" w14:textId="681BB34A" w:rsidR="00916215" w:rsidRPr="00B41A63" w:rsidRDefault="00916215" w:rsidP="00916215">
      <w:pPr>
        <w:jc w:val="both"/>
        <w:rPr>
          <w:rFonts w:eastAsia="Times New Roman" w:cs="Times New Roman"/>
          <w:szCs w:val="24"/>
          <w:lang w:val="it-IT" w:eastAsia="de-DE"/>
        </w:rPr>
      </w:pPr>
      <w:r w:rsidRPr="00E57EFB">
        <w:rPr>
          <w:szCs w:val="24"/>
          <w:u w:val="single"/>
          <w:lang w:val="it"/>
        </w:rPr>
        <w:lastRenderedPageBreak/>
        <w:t xml:space="preserve">Lotto </w:t>
      </w:r>
      <w:r>
        <w:rPr>
          <w:szCs w:val="24"/>
          <w:u w:val="single"/>
          <w:lang w:val="it"/>
        </w:rPr>
        <w:t>GWB</w:t>
      </w:r>
      <w:r w:rsidRPr="00E57EFB">
        <w:rPr>
          <w:szCs w:val="24"/>
          <w:u w:val="single"/>
          <w:lang w:val="it"/>
        </w:rPr>
        <w:t>1</w:t>
      </w:r>
      <w:r>
        <w:rPr>
          <w:szCs w:val="24"/>
          <w:lang w:val="it"/>
        </w:rPr>
        <w:t xml:space="preserve"> con una superficie di 1.002 m</w:t>
      </w:r>
      <w:r w:rsidR="002D2927">
        <w:rPr>
          <w:szCs w:val="24"/>
          <w:lang w:val="it"/>
        </w:rPr>
        <w:t>q</w:t>
      </w:r>
      <w:r>
        <w:rPr>
          <w:szCs w:val="24"/>
          <w:lang w:val="it"/>
        </w:rPr>
        <w:t xml:space="preserve"> e 1696 m</w:t>
      </w:r>
      <w:r w:rsidR="002D2927">
        <w:rPr>
          <w:szCs w:val="24"/>
          <w:lang w:val="it"/>
        </w:rPr>
        <w:t>c</w:t>
      </w:r>
      <w:r>
        <w:rPr>
          <w:szCs w:val="24"/>
          <w:lang w:val="it"/>
        </w:rPr>
        <w:t xml:space="preserve"> di cubatura massima realizzabile – </w:t>
      </w:r>
      <w:r w:rsidR="00FA6635">
        <w:rPr>
          <w:szCs w:val="24"/>
          <w:lang w:val="it"/>
        </w:rPr>
        <w:t>4</w:t>
      </w:r>
      <w:r>
        <w:rPr>
          <w:szCs w:val="24"/>
          <w:lang w:val="it"/>
        </w:rPr>
        <w:t xml:space="preserve"> </w:t>
      </w:r>
      <w:r w:rsidR="00151467">
        <w:rPr>
          <w:szCs w:val="24"/>
          <w:lang w:val="it"/>
        </w:rPr>
        <w:t>alloggi</w:t>
      </w:r>
    </w:p>
    <w:p w14:paraId="2E3D108D" w14:textId="0A3DF1AA" w:rsidR="00916215" w:rsidRPr="00B41A63" w:rsidRDefault="00916215" w:rsidP="00916215">
      <w:pPr>
        <w:jc w:val="both"/>
        <w:rPr>
          <w:rFonts w:eastAsia="Times New Roman" w:cs="Times New Roman"/>
          <w:szCs w:val="24"/>
          <w:lang w:val="it-IT" w:eastAsia="de-DE"/>
        </w:rPr>
      </w:pPr>
      <w:r w:rsidRPr="00E57EFB">
        <w:rPr>
          <w:szCs w:val="24"/>
          <w:u w:val="single"/>
          <w:lang w:val="it"/>
        </w:rPr>
        <w:t xml:space="preserve">Lotto </w:t>
      </w:r>
      <w:r w:rsidR="00366FAC">
        <w:rPr>
          <w:szCs w:val="24"/>
          <w:u w:val="single"/>
          <w:lang w:val="it"/>
        </w:rPr>
        <w:t>GWB</w:t>
      </w:r>
      <w:r>
        <w:rPr>
          <w:szCs w:val="24"/>
          <w:u w:val="single"/>
          <w:lang w:val="it"/>
        </w:rPr>
        <w:t>2</w:t>
      </w:r>
      <w:r>
        <w:rPr>
          <w:szCs w:val="24"/>
          <w:lang w:val="it"/>
        </w:rPr>
        <w:t xml:space="preserve"> con una superficie di 977 </w:t>
      </w:r>
      <w:r w:rsidR="002D2927">
        <w:rPr>
          <w:szCs w:val="24"/>
          <w:lang w:val="it"/>
        </w:rPr>
        <w:t>mq</w:t>
      </w:r>
      <w:r>
        <w:rPr>
          <w:szCs w:val="24"/>
          <w:lang w:val="it"/>
        </w:rPr>
        <w:t xml:space="preserve"> e 1696 </w:t>
      </w:r>
      <w:r w:rsidR="002D2927">
        <w:rPr>
          <w:szCs w:val="24"/>
          <w:lang w:val="it"/>
        </w:rPr>
        <w:t>mc</w:t>
      </w:r>
      <w:r>
        <w:rPr>
          <w:szCs w:val="24"/>
          <w:lang w:val="it"/>
        </w:rPr>
        <w:t xml:space="preserve"> di cubatura massima realizzabile – 4 </w:t>
      </w:r>
      <w:r w:rsidR="00151467">
        <w:rPr>
          <w:szCs w:val="24"/>
          <w:lang w:val="it"/>
        </w:rPr>
        <w:t>alloggi</w:t>
      </w:r>
    </w:p>
    <w:p w14:paraId="271E2857" w14:textId="1F03B0EA" w:rsidR="00916215" w:rsidRPr="00B41A63" w:rsidRDefault="00916215" w:rsidP="009B2CF0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6BA6D2D4" w14:textId="21C56097" w:rsidR="000459ED" w:rsidRPr="00B41A63" w:rsidRDefault="000459ED" w:rsidP="003742A4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szCs w:val="24"/>
          <w:lang w:val="it"/>
        </w:rPr>
        <w:t>La zona</w:t>
      </w:r>
      <w:r w:rsidR="002D2927">
        <w:rPr>
          <w:szCs w:val="24"/>
          <w:lang w:val="it"/>
        </w:rPr>
        <w:t xml:space="preserve"> deve essere ancora</w:t>
      </w:r>
      <w:r>
        <w:rPr>
          <w:szCs w:val="24"/>
          <w:lang w:val="it"/>
        </w:rPr>
        <w:t xml:space="preserve"> espropriata. I calcoli </w:t>
      </w:r>
      <w:r w:rsidR="003742A4">
        <w:rPr>
          <w:szCs w:val="24"/>
          <w:lang w:val="it"/>
        </w:rPr>
        <w:t>dei</w:t>
      </w:r>
      <w:r>
        <w:rPr>
          <w:szCs w:val="24"/>
          <w:lang w:val="it"/>
        </w:rPr>
        <w:t xml:space="preserve"> </w:t>
      </w:r>
      <w:r w:rsidR="003742A4">
        <w:rPr>
          <w:szCs w:val="24"/>
          <w:lang w:val="it"/>
        </w:rPr>
        <w:t xml:space="preserve">prezzi </w:t>
      </w:r>
      <w:r w:rsidR="003742A4" w:rsidRPr="003742A4">
        <w:rPr>
          <w:szCs w:val="24"/>
          <w:lang w:val="it"/>
        </w:rPr>
        <w:t>per ogni unità di terreno fabbricabile agevolato, compreso la spettante quota dei costi d’espropriazione delle aree destinate per le infrastrutture</w:t>
      </w:r>
      <w:r w:rsidR="003742A4">
        <w:rPr>
          <w:szCs w:val="24"/>
          <w:lang w:val="it"/>
        </w:rPr>
        <w:t xml:space="preserve"> ed inoltre per le infrastrutture primarie </w:t>
      </w:r>
      <w:r>
        <w:rPr>
          <w:szCs w:val="24"/>
          <w:lang w:val="it"/>
        </w:rPr>
        <w:t>sar</w:t>
      </w:r>
      <w:r w:rsidR="003742A4">
        <w:rPr>
          <w:szCs w:val="24"/>
          <w:lang w:val="it"/>
        </w:rPr>
        <w:t>à</w:t>
      </w:r>
      <w:r>
        <w:rPr>
          <w:szCs w:val="24"/>
          <w:lang w:val="it"/>
        </w:rPr>
        <w:t xml:space="preserve"> effettuat</w:t>
      </w:r>
      <w:r w:rsidR="003742A4">
        <w:rPr>
          <w:szCs w:val="24"/>
          <w:lang w:val="it"/>
        </w:rPr>
        <w:t>o</w:t>
      </w:r>
      <w:r>
        <w:rPr>
          <w:szCs w:val="24"/>
          <w:lang w:val="it"/>
        </w:rPr>
        <w:t xml:space="preserve"> </w:t>
      </w:r>
      <w:r w:rsidR="00D11FF5">
        <w:rPr>
          <w:szCs w:val="24"/>
          <w:lang w:val="it"/>
        </w:rPr>
        <w:t>dopo l’acquisto del terreno</w:t>
      </w:r>
      <w:r>
        <w:rPr>
          <w:szCs w:val="24"/>
          <w:lang w:val="it"/>
        </w:rPr>
        <w:t>.</w:t>
      </w:r>
    </w:p>
    <w:p w14:paraId="78E15406" w14:textId="77777777" w:rsidR="000459ED" w:rsidRPr="00B41A63" w:rsidRDefault="000459ED" w:rsidP="009B2CF0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72E6F926" w14:textId="3C243696" w:rsidR="00D23A9C" w:rsidRPr="00B41A63" w:rsidRDefault="00D23A9C" w:rsidP="009B2CF0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szCs w:val="24"/>
          <w:lang w:val="it"/>
        </w:rPr>
        <w:t xml:space="preserve">Link al piano di </w:t>
      </w:r>
      <w:r w:rsidR="003742A4">
        <w:rPr>
          <w:szCs w:val="24"/>
          <w:lang w:val="it"/>
        </w:rPr>
        <w:t>attuazione</w:t>
      </w:r>
      <w:r w:rsidR="00151467">
        <w:rPr>
          <w:szCs w:val="24"/>
          <w:lang w:val="it"/>
        </w:rPr>
        <w:t xml:space="preserve"> con piano normativo, piano urbanistico etc.</w:t>
      </w:r>
    </w:p>
    <w:p w14:paraId="37E0329A" w14:textId="77777777" w:rsidR="00D23A9C" w:rsidRPr="00B41A63" w:rsidRDefault="00D23A9C" w:rsidP="009B2CF0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6EDAF65B" w14:textId="612A02D5" w:rsidR="00F7387C" w:rsidRPr="00B41A63" w:rsidRDefault="00F7387C">
      <w:pPr>
        <w:rPr>
          <w:rFonts w:eastAsia="Times New Roman" w:cs="Times New Roman"/>
          <w:b/>
          <w:szCs w:val="24"/>
          <w:u w:val="single"/>
          <w:lang w:val="it-IT" w:eastAsia="de-DE"/>
        </w:rPr>
      </w:pPr>
    </w:p>
    <w:p w14:paraId="7275D80E" w14:textId="31F61E11" w:rsidR="00BF6701" w:rsidRPr="003742A4" w:rsidRDefault="003742A4" w:rsidP="00BF6701">
      <w:pPr>
        <w:jc w:val="both"/>
        <w:rPr>
          <w:rFonts w:eastAsia="Times New Roman" w:cs="Times New Roman"/>
          <w:b/>
          <w:szCs w:val="24"/>
          <w:u w:val="single"/>
          <w:lang w:val="it-IT" w:eastAsia="de-DE"/>
        </w:rPr>
      </w:pPr>
      <w:r w:rsidRPr="003742A4">
        <w:rPr>
          <w:b/>
          <w:szCs w:val="24"/>
          <w:u w:val="single"/>
          <w:lang w:val="it-IT"/>
        </w:rPr>
        <w:t>Zona residenzia</w:t>
      </w:r>
      <w:r>
        <w:rPr>
          <w:b/>
          <w:szCs w:val="24"/>
          <w:u w:val="single"/>
          <w:lang w:val="it-IT"/>
        </w:rPr>
        <w:t xml:space="preserve">le </w:t>
      </w:r>
      <w:r w:rsidR="00BF6701" w:rsidRPr="003742A4">
        <w:rPr>
          <w:b/>
          <w:szCs w:val="24"/>
          <w:u w:val="single"/>
          <w:lang w:val="it-IT"/>
        </w:rPr>
        <w:t>C4 – "</w:t>
      </w:r>
      <w:proofErr w:type="spellStart"/>
      <w:r w:rsidR="00BF6701" w:rsidRPr="003742A4">
        <w:rPr>
          <w:b/>
          <w:szCs w:val="24"/>
          <w:u w:val="single"/>
          <w:lang w:val="it-IT"/>
        </w:rPr>
        <w:t>Stampfl-Sägeplatz</w:t>
      </w:r>
      <w:proofErr w:type="spellEnd"/>
      <w:r w:rsidR="00BF6701" w:rsidRPr="003742A4">
        <w:rPr>
          <w:b/>
          <w:szCs w:val="24"/>
          <w:u w:val="single"/>
          <w:lang w:val="it-IT"/>
        </w:rPr>
        <w:t xml:space="preserve">" a </w:t>
      </w:r>
      <w:r>
        <w:rPr>
          <w:b/>
          <w:szCs w:val="24"/>
          <w:u w:val="single"/>
          <w:lang w:val="it-IT"/>
        </w:rPr>
        <w:t>Vandoies di Sotto</w:t>
      </w:r>
    </w:p>
    <w:p w14:paraId="2DEE921D" w14:textId="1ADCDF6B" w:rsidR="00BF6701" w:rsidRPr="003742A4" w:rsidRDefault="00BF6701" w:rsidP="00BF6701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2673C2DF" w14:textId="4207A4ED" w:rsidR="0040656A" w:rsidRDefault="0040656A" w:rsidP="00BF6701">
      <w:pPr>
        <w:jc w:val="both"/>
        <w:rPr>
          <w:rFonts w:eastAsia="Times New Roman" w:cs="Times New Roman"/>
          <w:szCs w:val="24"/>
          <w:lang w:eastAsia="de-DE"/>
        </w:rPr>
      </w:pPr>
      <w:r>
        <w:rPr>
          <w:noProof/>
        </w:rPr>
        <w:drawing>
          <wp:inline distT="0" distB="0" distL="0" distR="0" wp14:anchorId="3A4EEF9D" wp14:editId="014B39DF">
            <wp:extent cx="4229100" cy="260032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450"/>
                    <a:stretch/>
                  </pic:blipFill>
                  <pic:spPr bwMode="auto">
                    <a:xfrm>
                      <a:off x="0" y="0"/>
                      <a:ext cx="422910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28278" w14:textId="77777777" w:rsidR="0040656A" w:rsidRDefault="0040656A" w:rsidP="00BF6701">
      <w:pPr>
        <w:jc w:val="both"/>
        <w:rPr>
          <w:rFonts w:eastAsia="Times New Roman" w:cs="Times New Roman"/>
          <w:szCs w:val="24"/>
          <w:lang w:eastAsia="de-DE"/>
        </w:rPr>
      </w:pPr>
    </w:p>
    <w:p w14:paraId="34683448" w14:textId="7C6E9908" w:rsidR="00BF6701" w:rsidRPr="00B41A63" w:rsidRDefault="00BF6701" w:rsidP="00BF6701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szCs w:val="24"/>
          <w:lang w:val="it"/>
        </w:rPr>
        <w:t>La zona si trova nel</w:t>
      </w:r>
      <w:r w:rsidR="007F526C">
        <w:rPr>
          <w:szCs w:val="24"/>
          <w:lang w:val="it"/>
        </w:rPr>
        <w:t xml:space="preserve">la località </w:t>
      </w:r>
      <w:r w:rsidR="00D02E88">
        <w:rPr>
          <w:szCs w:val="24"/>
          <w:lang w:val="it"/>
        </w:rPr>
        <w:t>Vandoies di Sotto</w:t>
      </w:r>
      <w:r>
        <w:rPr>
          <w:lang w:val="it"/>
        </w:rPr>
        <w:t xml:space="preserve"> di</w:t>
      </w:r>
      <w:r w:rsidR="00CC6ED2">
        <w:rPr>
          <w:szCs w:val="24"/>
          <w:lang w:val="it"/>
        </w:rPr>
        <w:t xml:space="preserve"> fronte al municipio</w:t>
      </w:r>
      <w:r>
        <w:rPr>
          <w:szCs w:val="24"/>
          <w:lang w:val="it"/>
        </w:rPr>
        <w:t xml:space="preserve">. Secondo il piano di </w:t>
      </w:r>
      <w:r w:rsidR="00D02E88">
        <w:rPr>
          <w:szCs w:val="24"/>
          <w:lang w:val="it"/>
        </w:rPr>
        <w:t>attuazione</w:t>
      </w:r>
      <w:r>
        <w:rPr>
          <w:szCs w:val="24"/>
          <w:lang w:val="it"/>
        </w:rPr>
        <w:t xml:space="preserve"> la zona è riservata al 100% all</w:t>
      </w:r>
      <w:r w:rsidR="00D02E88">
        <w:rPr>
          <w:szCs w:val="24"/>
          <w:lang w:val="it"/>
        </w:rPr>
        <w:t xml:space="preserve">’edilizia agevolata </w:t>
      </w:r>
      <w:r w:rsidR="00390E59">
        <w:rPr>
          <w:szCs w:val="24"/>
          <w:lang w:val="it"/>
        </w:rPr>
        <w:t>(3 lotti di costruzione).</w:t>
      </w:r>
      <w:r>
        <w:rPr>
          <w:szCs w:val="24"/>
          <w:lang w:val="it"/>
        </w:rPr>
        <w:t xml:space="preserve"> A</w:t>
      </w:r>
      <w:r w:rsidR="00D02E88">
        <w:rPr>
          <w:szCs w:val="24"/>
          <w:lang w:val="it"/>
        </w:rPr>
        <w:t xml:space="preserve">l momento sono liberi i </w:t>
      </w:r>
      <w:r w:rsidR="00390E59">
        <w:rPr>
          <w:szCs w:val="24"/>
          <w:lang w:val="it"/>
        </w:rPr>
        <w:t xml:space="preserve">lotti 1 e 2 </w:t>
      </w:r>
      <w:r>
        <w:rPr>
          <w:szCs w:val="24"/>
          <w:lang w:val="it"/>
        </w:rPr>
        <w:t>(ved</w:t>
      </w:r>
      <w:r w:rsidR="00D02E88">
        <w:rPr>
          <w:szCs w:val="24"/>
          <w:lang w:val="it"/>
        </w:rPr>
        <w:t>asi piano normativo</w:t>
      </w:r>
      <w:r>
        <w:rPr>
          <w:szCs w:val="24"/>
          <w:lang w:val="it"/>
        </w:rPr>
        <w:t xml:space="preserve">) per </w:t>
      </w:r>
      <w:r w:rsidR="00D02E88">
        <w:rPr>
          <w:szCs w:val="24"/>
          <w:lang w:val="it"/>
        </w:rPr>
        <w:t>l’edilizia agevolata</w:t>
      </w:r>
      <w:r w:rsidR="00D22F20">
        <w:rPr>
          <w:szCs w:val="24"/>
          <w:lang w:val="it"/>
        </w:rPr>
        <w:t>.</w:t>
      </w:r>
    </w:p>
    <w:p w14:paraId="26B5CF5C" w14:textId="27E0D597" w:rsidR="00390E59" w:rsidRPr="00B41A63" w:rsidRDefault="00390E59" w:rsidP="00BF6701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776EBB2C" w14:textId="51DFD125" w:rsidR="00390E59" w:rsidRPr="00B41A63" w:rsidRDefault="00390E59" w:rsidP="00BF6701">
      <w:pPr>
        <w:jc w:val="both"/>
        <w:rPr>
          <w:rFonts w:eastAsia="Times New Roman" w:cs="Times New Roman"/>
          <w:szCs w:val="24"/>
          <w:lang w:val="it-IT" w:eastAsia="de-DE"/>
        </w:rPr>
      </w:pPr>
      <w:r w:rsidRPr="00E57EFB">
        <w:rPr>
          <w:szCs w:val="24"/>
          <w:u w:val="single"/>
          <w:lang w:val="it"/>
        </w:rPr>
        <w:t>Lotto 1</w:t>
      </w:r>
      <w:r>
        <w:rPr>
          <w:szCs w:val="24"/>
          <w:lang w:val="it"/>
        </w:rPr>
        <w:t xml:space="preserve"> con una superficie di </w:t>
      </w:r>
      <w:r w:rsidR="00E57EFB">
        <w:rPr>
          <w:szCs w:val="24"/>
          <w:lang w:val="it"/>
        </w:rPr>
        <w:t>374</w:t>
      </w:r>
      <w:r>
        <w:rPr>
          <w:szCs w:val="24"/>
          <w:lang w:val="it"/>
        </w:rPr>
        <w:t xml:space="preserve"> </w:t>
      </w:r>
      <w:r w:rsidR="002D2927">
        <w:rPr>
          <w:szCs w:val="24"/>
          <w:lang w:val="it"/>
        </w:rPr>
        <w:t>mq</w:t>
      </w:r>
      <w:r>
        <w:rPr>
          <w:szCs w:val="24"/>
          <w:lang w:val="it"/>
        </w:rPr>
        <w:t xml:space="preserve"> e </w:t>
      </w:r>
      <w:r w:rsidR="00E57EFB">
        <w:rPr>
          <w:szCs w:val="24"/>
          <w:lang w:val="it"/>
        </w:rPr>
        <w:t>1296</w:t>
      </w:r>
      <w:r>
        <w:rPr>
          <w:szCs w:val="24"/>
          <w:lang w:val="it"/>
        </w:rPr>
        <w:t xml:space="preserve"> </w:t>
      </w:r>
      <w:r w:rsidR="002D2927">
        <w:rPr>
          <w:szCs w:val="24"/>
          <w:lang w:val="it"/>
        </w:rPr>
        <w:t>mc</w:t>
      </w:r>
      <w:r>
        <w:rPr>
          <w:szCs w:val="24"/>
          <w:lang w:val="it"/>
        </w:rPr>
        <w:t xml:space="preserve"> di cubatura massima realizzabile</w:t>
      </w:r>
      <w:r w:rsidR="00E57EFB">
        <w:rPr>
          <w:szCs w:val="24"/>
          <w:lang w:val="it"/>
        </w:rPr>
        <w:t xml:space="preserve"> – 3 </w:t>
      </w:r>
      <w:r w:rsidR="007F526C">
        <w:rPr>
          <w:szCs w:val="24"/>
          <w:lang w:val="it"/>
        </w:rPr>
        <w:t>alloggi</w:t>
      </w:r>
    </w:p>
    <w:p w14:paraId="32CAE0D8" w14:textId="36FAE2E9" w:rsidR="00E57EFB" w:rsidRPr="00B41A63" w:rsidRDefault="00E57EFB" w:rsidP="00E57EFB">
      <w:pPr>
        <w:jc w:val="both"/>
        <w:rPr>
          <w:rFonts w:eastAsia="Times New Roman" w:cs="Times New Roman"/>
          <w:szCs w:val="24"/>
          <w:lang w:val="it-IT" w:eastAsia="de-DE"/>
        </w:rPr>
      </w:pPr>
      <w:r w:rsidRPr="00E57EFB">
        <w:rPr>
          <w:szCs w:val="24"/>
          <w:u w:val="single"/>
          <w:lang w:val="it"/>
        </w:rPr>
        <w:t xml:space="preserve">Lotto </w:t>
      </w:r>
      <w:r>
        <w:rPr>
          <w:szCs w:val="24"/>
          <w:u w:val="single"/>
          <w:lang w:val="it"/>
        </w:rPr>
        <w:t>2</w:t>
      </w:r>
      <w:r>
        <w:rPr>
          <w:szCs w:val="24"/>
          <w:lang w:val="it"/>
        </w:rPr>
        <w:t xml:space="preserve"> con una superficie di 633 </w:t>
      </w:r>
      <w:r w:rsidR="002D2927">
        <w:rPr>
          <w:szCs w:val="24"/>
          <w:lang w:val="it"/>
        </w:rPr>
        <w:t>mq</w:t>
      </w:r>
      <w:r>
        <w:rPr>
          <w:szCs w:val="24"/>
          <w:lang w:val="it"/>
        </w:rPr>
        <w:t xml:space="preserve"> e 1582 </w:t>
      </w:r>
      <w:r w:rsidR="002D2927">
        <w:rPr>
          <w:szCs w:val="24"/>
          <w:lang w:val="it"/>
        </w:rPr>
        <w:t>mc</w:t>
      </w:r>
      <w:r>
        <w:rPr>
          <w:szCs w:val="24"/>
          <w:lang w:val="it"/>
        </w:rPr>
        <w:t xml:space="preserve"> di cubatura massima realizzabile – 4 </w:t>
      </w:r>
      <w:r w:rsidR="007F526C">
        <w:rPr>
          <w:szCs w:val="24"/>
          <w:lang w:val="it"/>
        </w:rPr>
        <w:t>alloggi</w:t>
      </w:r>
    </w:p>
    <w:p w14:paraId="60F82EE6" w14:textId="5C7E3343" w:rsidR="00E57EFB" w:rsidRPr="00B41A63" w:rsidRDefault="00E57EFB" w:rsidP="00BF6701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33550EB7" w14:textId="39468B4B" w:rsidR="00777F7D" w:rsidRPr="00974C5A" w:rsidRDefault="00974C5A" w:rsidP="00974C5A">
      <w:pPr>
        <w:jc w:val="both"/>
        <w:rPr>
          <w:szCs w:val="24"/>
          <w:lang w:val="it"/>
        </w:rPr>
      </w:pPr>
      <w:r w:rsidRPr="00974C5A">
        <w:rPr>
          <w:szCs w:val="24"/>
          <w:lang w:val="it"/>
        </w:rPr>
        <w:t xml:space="preserve">Il prezzo per ogni unità di terreno fabbricabile agevolato, compreso la spettante quota dei costi d’espropriazione delle aree destinate per le infrastrutture, </w:t>
      </w:r>
      <w:r w:rsidR="00666B60">
        <w:rPr>
          <w:szCs w:val="24"/>
          <w:lang w:val="it"/>
        </w:rPr>
        <w:t>comporta</w:t>
      </w:r>
      <w:r w:rsidRPr="00974C5A">
        <w:rPr>
          <w:szCs w:val="24"/>
          <w:lang w:val="it"/>
        </w:rPr>
        <w:t xml:space="preserve"> dopo la detrazione del contributo provinciale</w:t>
      </w:r>
      <w:r>
        <w:rPr>
          <w:szCs w:val="24"/>
          <w:lang w:val="it"/>
        </w:rPr>
        <w:t xml:space="preserve"> una spesa tra </w:t>
      </w:r>
      <w:r w:rsidR="00777F7D" w:rsidRPr="00390E59">
        <w:rPr>
          <w:szCs w:val="24"/>
          <w:lang w:val="it"/>
        </w:rPr>
        <w:t>€ 24.000,00</w:t>
      </w:r>
      <w:r w:rsidR="00777F7D">
        <w:rPr>
          <w:lang w:val="it"/>
        </w:rPr>
        <w:t xml:space="preserve"> </w:t>
      </w:r>
      <w:r w:rsidR="00777F7D">
        <w:rPr>
          <w:szCs w:val="24"/>
          <w:lang w:val="it"/>
        </w:rPr>
        <w:t xml:space="preserve">(lotto 1) </w:t>
      </w:r>
      <w:r w:rsidR="00777F7D" w:rsidRPr="00390E59">
        <w:rPr>
          <w:szCs w:val="24"/>
          <w:lang w:val="it"/>
        </w:rPr>
        <w:t xml:space="preserve">e € 28.000,00 </w:t>
      </w:r>
      <w:r w:rsidR="00777F7D">
        <w:rPr>
          <w:szCs w:val="24"/>
          <w:lang w:val="it"/>
        </w:rPr>
        <w:t>(lotto 2</w:t>
      </w:r>
      <w:r>
        <w:rPr>
          <w:szCs w:val="24"/>
          <w:lang w:val="it"/>
        </w:rPr>
        <w:t>)</w:t>
      </w:r>
      <w:r w:rsidRPr="00974C5A">
        <w:rPr>
          <w:szCs w:val="24"/>
          <w:lang w:val="it"/>
        </w:rPr>
        <w:t xml:space="preserve"> </w:t>
      </w:r>
      <w:r>
        <w:rPr>
          <w:szCs w:val="24"/>
          <w:lang w:val="it"/>
        </w:rPr>
        <w:t>per ogni alloggio</w:t>
      </w:r>
      <w:r w:rsidR="00777F7D" w:rsidRPr="00390E59">
        <w:rPr>
          <w:szCs w:val="24"/>
          <w:lang w:val="it"/>
        </w:rPr>
        <w:t>.</w:t>
      </w:r>
      <w:r w:rsidRPr="00974C5A">
        <w:rPr>
          <w:lang w:val="it-IT"/>
        </w:rPr>
        <w:t xml:space="preserve"> </w:t>
      </w:r>
      <w:r w:rsidRPr="00974C5A">
        <w:rPr>
          <w:szCs w:val="24"/>
          <w:lang w:val="it"/>
        </w:rPr>
        <w:t xml:space="preserve">I costi per le infrastrutture primarie </w:t>
      </w:r>
      <w:r w:rsidR="001A41B5">
        <w:rPr>
          <w:szCs w:val="24"/>
          <w:lang w:val="it"/>
        </w:rPr>
        <w:t>comporta</w:t>
      </w:r>
      <w:r w:rsidR="00CD131B">
        <w:rPr>
          <w:szCs w:val="24"/>
          <w:lang w:val="it"/>
        </w:rPr>
        <w:t>no</w:t>
      </w:r>
      <w:r w:rsidR="001A41B5">
        <w:rPr>
          <w:szCs w:val="24"/>
          <w:lang w:val="it"/>
        </w:rPr>
        <w:t xml:space="preserve"> una spesa tra € 8.200,00 (lotto 1) ed € 7.500,00 (lotto 2) </w:t>
      </w:r>
      <w:r w:rsidR="00777F7D">
        <w:rPr>
          <w:szCs w:val="24"/>
          <w:lang w:val="it"/>
        </w:rPr>
        <w:t xml:space="preserve">per </w:t>
      </w:r>
      <w:r w:rsidR="007F526C">
        <w:rPr>
          <w:szCs w:val="24"/>
          <w:lang w:val="it"/>
        </w:rPr>
        <w:t>ogni alloggio</w:t>
      </w:r>
      <w:r w:rsidR="00777F7D" w:rsidRPr="00390E59">
        <w:rPr>
          <w:szCs w:val="24"/>
          <w:lang w:val="it"/>
        </w:rPr>
        <w:t>.</w:t>
      </w:r>
    </w:p>
    <w:p w14:paraId="584AA870" w14:textId="77777777" w:rsidR="002D2927" w:rsidRPr="00B41A63" w:rsidRDefault="002D2927" w:rsidP="00BF6701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5B29CC32" w14:textId="3CCE39CD" w:rsidR="00D23A9C" w:rsidRPr="00B41A63" w:rsidRDefault="00D23A9C" w:rsidP="00BF6701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szCs w:val="24"/>
          <w:lang w:val="it"/>
        </w:rPr>
        <w:t xml:space="preserve">Link al piano </w:t>
      </w:r>
      <w:r w:rsidR="00D43420">
        <w:rPr>
          <w:szCs w:val="24"/>
          <w:lang w:val="it"/>
        </w:rPr>
        <w:t>urbanistico</w:t>
      </w:r>
    </w:p>
    <w:p w14:paraId="6EDEC048" w14:textId="7DF587E6" w:rsidR="00D23A9C" w:rsidRPr="00B41A63" w:rsidRDefault="00D23A9C" w:rsidP="00BF6701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szCs w:val="24"/>
          <w:lang w:val="it"/>
        </w:rPr>
        <w:t xml:space="preserve">Link al piano </w:t>
      </w:r>
      <w:r w:rsidR="00D43420">
        <w:rPr>
          <w:szCs w:val="24"/>
          <w:lang w:val="it"/>
        </w:rPr>
        <w:t>normativo</w:t>
      </w:r>
    </w:p>
    <w:p w14:paraId="19C2FDFA" w14:textId="77777777" w:rsidR="00D23A9C" w:rsidRPr="00B41A63" w:rsidRDefault="00D23A9C" w:rsidP="00BF6701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3B30D19A" w14:textId="5AE5E439" w:rsidR="00501824" w:rsidRPr="00B41A63" w:rsidRDefault="00501824" w:rsidP="00BF6701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1235E604" w14:textId="77777777" w:rsidR="00F7387C" w:rsidRPr="00B41A63" w:rsidRDefault="00F7387C">
      <w:pPr>
        <w:rPr>
          <w:rFonts w:eastAsia="Times New Roman" w:cs="Times New Roman"/>
          <w:b/>
          <w:szCs w:val="24"/>
          <w:u w:val="single"/>
          <w:lang w:val="it-IT" w:eastAsia="de-DE"/>
        </w:rPr>
      </w:pPr>
      <w:r w:rsidRPr="00B41A63">
        <w:rPr>
          <w:rFonts w:eastAsia="Times New Roman" w:cs="Times New Roman"/>
          <w:b/>
          <w:szCs w:val="24"/>
          <w:u w:val="single"/>
          <w:lang w:val="it-IT" w:eastAsia="de-DE"/>
        </w:rPr>
        <w:br w:type="page"/>
      </w:r>
    </w:p>
    <w:p w14:paraId="5428B64F" w14:textId="75B82F3D" w:rsidR="00CC6ED2" w:rsidRPr="0097283D" w:rsidRDefault="0097283D" w:rsidP="00CC6ED2">
      <w:pPr>
        <w:jc w:val="both"/>
        <w:rPr>
          <w:rFonts w:eastAsia="Times New Roman" w:cs="Times New Roman"/>
          <w:b/>
          <w:szCs w:val="24"/>
          <w:u w:val="single"/>
          <w:lang w:val="it-IT" w:eastAsia="de-DE"/>
        </w:rPr>
      </w:pPr>
      <w:r w:rsidRPr="0097283D">
        <w:rPr>
          <w:b/>
          <w:szCs w:val="24"/>
          <w:u w:val="single"/>
          <w:lang w:val="it-IT"/>
        </w:rPr>
        <w:lastRenderedPageBreak/>
        <w:t>Zona d‘espansione</w:t>
      </w:r>
      <w:r w:rsidR="00CC6ED2" w:rsidRPr="0097283D">
        <w:rPr>
          <w:b/>
          <w:szCs w:val="24"/>
          <w:u w:val="single"/>
          <w:lang w:val="it-IT"/>
        </w:rPr>
        <w:t xml:space="preserve"> C1 – "</w:t>
      </w:r>
      <w:proofErr w:type="spellStart"/>
      <w:r w:rsidR="00CC6ED2" w:rsidRPr="0097283D">
        <w:rPr>
          <w:b/>
          <w:szCs w:val="24"/>
          <w:u w:val="single"/>
          <w:lang w:val="it-IT"/>
        </w:rPr>
        <w:t>Stampflleite</w:t>
      </w:r>
      <w:proofErr w:type="spellEnd"/>
      <w:r w:rsidR="00CC6ED2" w:rsidRPr="0097283D">
        <w:rPr>
          <w:b/>
          <w:szCs w:val="24"/>
          <w:u w:val="single"/>
          <w:lang w:val="it-IT"/>
        </w:rPr>
        <w:t xml:space="preserve"> II" a </w:t>
      </w:r>
      <w:r>
        <w:rPr>
          <w:b/>
          <w:szCs w:val="24"/>
          <w:u w:val="single"/>
          <w:lang w:val="it-IT"/>
        </w:rPr>
        <w:t>Vandoies di Sotto</w:t>
      </w:r>
    </w:p>
    <w:p w14:paraId="38E6D3B6" w14:textId="0EABE64A" w:rsidR="00CC6ED2" w:rsidRPr="0097283D" w:rsidRDefault="00CC6ED2" w:rsidP="00CC6ED2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73AE4B3E" w14:textId="6D3BE97F" w:rsidR="0040656A" w:rsidRDefault="0040656A" w:rsidP="00CC6ED2">
      <w:pPr>
        <w:jc w:val="both"/>
        <w:rPr>
          <w:rFonts w:eastAsia="Times New Roman" w:cs="Times New Roman"/>
          <w:szCs w:val="24"/>
          <w:lang w:eastAsia="de-DE"/>
        </w:rPr>
      </w:pPr>
      <w:r>
        <w:rPr>
          <w:noProof/>
        </w:rPr>
        <w:drawing>
          <wp:inline distT="0" distB="0" distL="0" distR="0" wp14:anchorId="2E79961D" wp14:editId="09809C72">
            <wp:extent cx="3162300" cy="311467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57651" w14:textId="77777777" w:rsidR="0040656A" w:rsidRDefault="0040656A" w:rsidP="00CC6ED2">
      <w:pPr>
        <w:jc w:val="both"/>
        <w:rPr>
          <w:rFonts w:eastAsia="Times New Roman" w:cs="Times New Roman"/>
          <w:szCs w:val="24"/>
          <w:lang w:eastAsia="de-DE"/>
        </w:rPr>
      </w:pPr>
    </w:p>
    <w:p w14:paraId="0A54ACE3" w14:textId="78630337" w:rsidR="00CC6ED2" w:rsidRPr="00B41A63" w:rsidRDefault="00CC6ED2" w:rsidP="00CC6ED2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szCs w:val="24"/>
          <w:lang w:val="it"/>
        </w:rPr>
        <w:t>La zona si trova nel</w:t>
      </w:r>
      <w:r w:rsidR="00151467">
        <w:rPr>
          <w:szCs w:val="24"/>
          <w:lang w:val="it"/>
        </w:rPr>
        <w:t>la località</w:t>
      </w:r>
      <w:r>
        <w:rPr>
          <w:szCs w:val="24"/>
          <w:lang w:val="it"/>
        </w:rPr>
        <w:t xml:space="preserve"> </w:t>
      </w:r>
      <w:r w:rsidR="00151467">
        <w:rPr>
          <w:szCs w:val="24"/>
          <w:lang w:val="it"/>
        </w:rPr>
        <w:t>Vandoies di Sotto</w:t>
      </w:r>
      <w:r>
        <w:rPr>
          <w:szCs w:val="24"/>
          <w:lang w:val="it"/>
        </w:rPr>
        <w:t>.</w:t>
      </w:r>
      <w:r>
        <w:rPr>
          <w:lang w:val="it"/>
        </w:rPr>
        <w:t xml:space="preserve"> </w:t>
      </w:r>
      <w:r w:rsidRPr="00CC6ED2">
        <w:rPr>
          <w:szCs w:val="24"/>
          <w:lang w:val="it"/>
        </w:rPr>
        <w:t xml:space="preserve">Secondo il piano di implementazione, la zona è divisa in </w:t>
      </w:r>
      <w:r>
        <w:rPr>
          <w:szCs w:val="24"/>
          <w:lang w:val="it"/>
        </w:rPr>
        <w:t>2</w:t>
      </w:r>
      <w:r w:rsidRPr="00CC6ED2">
        <w:rPr>
          <w:szCs w:val="24"/>
          <w:lang w:val="it"/>
        </w:rPr>
        <w:t xml:space="preserve"> lotti di costruzione, di cui </w:t>
      </w:r>
      <w:r>
        <w:rPr>
          <w:szCs w:val="24"/>
          <w:lang w:val="it"/>
        </w:rPr>
        <w:t>1</w:t>
      </w:r>
      <w:r>
        <w:rPr>
          <w:lang w:val="it"/>
        </w:rPr>
        <w:t xml:space="preserve"> </w:t>
      </w:r>
      <w:r>
        <w:rPr>
          <w:szCs w:val="24"/>
          <w:lang w:val="it"/>
        </w:rPr>
        <w:t>è</w:t>
      </w:r>
      <w:r w:rsidRPr="00CC6ED2">
        <w:rPr>
          <w:szCs w:val="24"/>
          <w:lang w:val="it"/>
        </w:rPr>
        <w:t xml:space="preserve"> riservato per l'edilizia sovvenzionata e 1 per l'edilizia libera. </w:t>
      </w:r>
      <w:r>
        <w:rPr>
          <w:lang w:val="it"/>
        </w:rPr>
        <w:t xml:space="preserve"> </w:t>
      </w:r>
      <w:r w:rsidR="00D22F20">
        <w:rPr>
          <w:szCs w:val="24"/>
          <w:lang w:val="it"/>
        </w:rPr>
        <w:t>Il lotto 2 (cfr. piano giuridico) per gli alloggi sovvenzionati è ancora disponibile.</w:t>
      </w:r>
    </w:p>
    <w:p w14:paraId="6D7923AE" w14:textId="0854BD85" w:rsidR="00CC6ED2" w:rsidRDefault="00CC6ED2" w:rsidP="00CC6ED2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6EA7EB70" w14:textId="77777777" w:rsidR="00151467" w:rsidRDefault="00151467" w:rsidP="00151467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>La zona si trova nella località Vandoies di Sotto. Secondo il piano di attuazione questa zona è divisa in 2 lotti, di cui 1 è riservato all'edilizia agevolata ed 1 per l'edilizia libera. Il lotto 2 per l’edilizia agevolata è ancora libero.</w:t>
      </w:r>
    </w:p>
    <w:p w14:paraId="5FEF99AF" w14:textId="77777777" w:rsidR="00151467" w:rsidRDefault="00151467" w:rsidP="00151467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6EBF1999" w14:textId="582A21F8" w:rsidR="00151467" w:rsidRDefault="00151467" w:rsidP="00151467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szCs w:val="24"/>
          <w:u w:val="single"/>
          <w:lang w:val="it-IT"/>
        </w:rPr>
        <w:t>Lotto 2</w:t>
      </w:r>
      <w:r>
        <w:rPr>
          <w:szCs w:val="24"/>
          <w:lang w:val="it-IT"/>
        </w:rPr>
        <w:t xml:space="preserve"> con una superficie di 600 mq e 960 mc di cubatura massima realizzabile – </w:t>
      </w:r>
      <w:r w:rsidR="00793FA6">
        <w:rPr>
          <w:szCs w:val="24"/>
          <w:lang w:val="it-IT"/>
        </w:rPr>
        <w:t>2</w:t>
      </w:r>
      <w:r>
        <w:rPr>
          <w:szCs w:val="24"/>
          <w:lang w:val="it-IT"/>
        </w:rPr>
        <w:t xml:space="preserve"> alloggi</w:t>
      </w:r>
    </w:p>
    <w:p w14:paraId="35F743C0" w14:textId="6366171C" w:rsidR="00151467" w:rsidRDefault="00151467" w:rsidP="00CC6ED2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2FC492D2" w14:textId="204804AF" w:rsidR="00793FA6" w:rsidRDefault="00793FA6" w:rsidP="00793FA6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>Il prezzo per ogni unità di terreno fabbricabile agevolato, compreso la spettante quota dei costi d’espropriazione delle aree destinate per le infrastrutture, ammonta dopo la detrazione del contributo provinciale a € 21.450,00</w:t>
      </w:r>
      <w:r>
        <w:rPr>
          <w:lang w:val="it-IT"/>
        </w:rPr>
        <w:t xml:space="preserve"> </w:t>
      </w:r>
      <w:r>
        <w:rPr>
          <w:szCs w:val="24"/>
          <w:lang w:val="it-IT"/>
        </w:rPr>
        <w:t>per ogni alloggio.</w:t>
      </w:r>
      <w:r>
        <w:rPr>
          <w:lang w:val="it-IT"/>
        </w:rPr>
        <w:t xml:space="preserve"> </w:t>
      </w:r>
      <w:r>
        <w:rPr>
          <w:szCs w:val="24"/>
          <w:lang w:val="it-IT"/>
        </w:rPr>
        <w:t>I costi per le infrastrutture primarie ammontano a ca. € 8.600,00 per ogni alloggio.</w:t>
      </w:r>
    </w:p>
    <w:p w14:paraId="411FB44A" w14:textId="77777777" w:rsidR="00793FA6" w:rsidRDefault="00793FA6" w:rsidP="00CC6ED2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22916CD3" w14:textId="77777777" w:rsidR="00793FA6" w:rsidRPr="00B41A63" w:rsidRDefault="00793FA6" w:rsidP="00793FA6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szCs w:val="24"/>
          <w:lang w:val="it"/>
        </w:rPr>
        <w:t>Link al piano urbanistico</w:t>
      </w:r>
    </w:p>
    <w:p w14:paraId="40089AB7" w14:textId="77777777" w:rsidR="00793FA6" w:rsidRPr="00B41A63" w:rsidRDefault="00793FA6" w:rsidP="00793FA6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szCs w:val="24"/>
          <w:lang w:val="it"/>
        </w:rPr>
        <w:t>Link al piano normativo</w:t>
      </w:r>
    </w:p>
    <w:p w14:paraId="79CF8567" w14:textId="293DB23C" w:rsidR="00D23A9C" w:rsidRPr="00793FA6" w:rsidRDefault="00D23A9C" w:rsidP="00501824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3EEB7E57" w14:textId="77777777" w:rsidR="00D23A9C" w:rsidRPr="00793FA6" w:rsidRDefault="00D23A9C" w:rsidP="00501824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1C4F6CE6" w14:textId="77777777" w:rsidR="00F7387C" w:rsidRPr="00793FA6" w:rsidRDefault="00F7387C">
      <w:pPr>
        <w:rPr>
          <w:rFonts w:eastAsia="Times New Roman" w:cs="Times New Roman"/>
          <w:b/>
          <w:szCs w:val="24"/>
          <w:u w:val="single"/>
          <w:lang w:val="it-IT" w:eastAsia="de-DE"/>
        </w:rPr>
      </w:pPr>
      <w:r w:rsidRPr="00793FA6">
        <w:rPr>
          <w:rFonts w:eastAsia="Times New Roman" w:cs="Times New Roman"/>
          <w:b/>
          <w:szCs w:val="24"/>
          <w:u w:val="single"/>
          <w:lang w:val="it-IT" w:eastAsia="de-DE"/>
        </w:rPr>
        <w:br w:type="page"/>
      </w:r>
    </w:p>
    <w:p w14:paraId="715C8E7A" w14:textId="5B0AEDD6" w:rsidR="00953E4C" w:rsidRPr="00793FA6" w:rsidRDefault="00793FA6" w:rsidP="00953E4C">
      <w:pPr>
        <w:jc w:val="both"/>
        <w:rPr>
          <w:rFonts w:eastAsia="Times New Roman" w:cs="Times New Roman"/>
          <w:b/>
          <w:szCs w:val="24"/>
          <w:u w:val="single"/>
          <w:lang w:val="it-IT" w:eastAsia="de-DE"/>
        </w:rPr>
      </w:pPr>
      <w:r w:rsidRPr="00793FA6">
        <w:rPr>
          <w:b/>
          <w:szCs w:val="24"/>
          <w:u w:val="single"/>
          <w:lang w:val="it-IT"/>
        </w:rPr>
        <w:lastRenderedPageBreak/>
        <w:t>Zona d‘espansione</w:t>
      </w:r>
      <w:r w:rsidR="00953E4C" w:rsidRPr="00793FA6">
        <w:rPr>
          <w:b/>
          <w:szCs w:val="24"/>
          <w:u w:val="single"/>
          <w:lang w:val="it-IT"/>
        </w:rPr>
        <w:t xml:space="preserve"> C1 – "</w:t>
      </w:r>
      <w:proofErr w:type="spellStart"/>
      <w:r w:rsidR="00953E4C" w:rsidRPr="00793FA6">
        <w:rPr>
          <w:b/>
          <w:szCs w:val="24"/>
          <w:u w:val="single"/>
          <w:lang w:val="it-IT"/>
        </w:rPr>
        <w:t>Taschnerfeld</w:t>
      </w:r>
      <w:proofErr w:type="spellEnd"/>
      <w:r w:rsidR="00953E4C" w:rsidRPr="00793FA6">
        <w:rPr>
          <w:b/>
          <w:szCs w:val="24"/>
          <w:u w:val="single"/>
          <w:lang w:val="it-IT"/>
        </w:rPr>
        <w:t xml:space="preserve">" </w:t>
      </w:r>
      <w:r w:rsidRPr="00793FA6">
        <w:rPr>
          <w:b/>
          <w:szCs w:val="24"/>
          <w:u w:val="single"/>
          <w:lang w:val="it-IT"/>
        </w:rPr>
        <w:t>a</w:t>
      </w:r>
      <w:r>
        <w:rPr>
          <w:b/>
          <w:szCs w:val="24"/>
          <w:u w:val="single"/>
          <w:lang w:val="it-IT"/>
        </w:rPr>
        <w:t xml:space="preserve"> Vallarga</w:t>
      </w:r>
    </w:p>
    <w:p w14:paraId="06D2DFE0" w14:textId="5021190D" w:rsidR="00953E4C" w:rsidRPr="00793FA6" w:rsidRDefault="00953E4C" w:rsidP="00953E4C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20CADD85" w14:textId="7B7CAE42" w:rsidR="0040656A" w:rsidRDefault="0040656A" w:rsidP="00953E4C">
      <w:pPr>
        <w:jc w:val="both"/>
        <w:rPr>
          <w:rFonts w:eastAsia="Times New Roman" w:cs="Times New Roman"/>
          <w:szCs w:val="24"/>
          <w:lang w:eastAsia="de-DE"/>
        </w:rPr>
      </w:pPr>
      <w:r>
        <w:rPr>
          <w:noProof/>
        </w:rPr>
        <w:drawing>
          <wp:inline distT="0" distB="0" distL="0" distR="0" wp14:anchorId="79360FD6" wp14:editId="2A0A7A4E">
            <wp:extent cx="3600450" cy="3076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CA0D7" w14:textId="4D531750" w:rsidR="0040656A" w:rsidRDefault="0040656A" w:rsidP="00953E4C">
      <w:pPr>
        <w:jc w:val="both"/>
        <w:rPr>
          <w:rFonts w:eastAsia="Times New Roman" w:cs="Times New Roman"/>
          <w:szCs w:val="24"/>
          <w:lang w:eastAsia="de-DE"/>
        </w:rPr>
      </w:pPr>
    </w:p>
    <w:p w14:paraId="0E327807" w14:textId="33DD2E33" w:rsidR="00793FA6" w:rsidRDefault="00793FA6" w:rsidP="00793FA6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szCs w:val="24"/>
          <w:lang w:val="it-IT"/>
        </w:rPr>
        <w:t xml:space="preserve">La zona si trova nella località Vallarga. Secondo il piano di attuazione questa zona è divisa in 12 lotti, di cui 9 sono riservati all'edilizia agevolata e 3 per l'edilizia libera. </w:t>
      </w:r>
      <w:r w:rsidR="009669F7">
        <w:rPr>
          <w:szCs w:val="24"/>
          <w:lang w:val="it-IT"/>
        </w:rPr>
        <w:t xml:space="preserve">È rimasto libero soltanto il </w:t>
      </w:r>
      <w:r>
        <w:rPr>
          <w:szCs w:val="24"/>
          <w:lang w:val="it-IT"/>
        </w:rPr>
        <w:t>lott</w:t>
      </w:r>
      <w:r w:rsidR="009669F7">
        <w:rPr>
          <w:szCs w:val="24"/>
          <w:lang w:val="it-IT"/>
        </w:rPr>
        <w:t xml:space="preserve">o A2 </w:t>
      </w:r>
      <w:r>
        <w:rPr>
          <w:szCs w:val="24"/>
          <w:lang w:val="it-IT"/>
        </w:rPr>
        <w:t>(vedi piano normativo)</w:t>
      </w:r>
      <w:r>
        <w:rPr>
          <w:lang w:val="it-IT"/>
        </w:rPr>
        <w:t xml:space="preserve"> </w:t>
      </w:r>
      <w:r>
        <w:rPr>
          <w:szCs w:val="24"/>
          <w:lang w:val="it-IT"/>
        </w:rPr>
        <w:t>per l'edilizia agevolata.</w:t>
      </w:r>
    </w:p>
    <w:p w14:paraId="07B23979" w14:textId="5B538F87" w:rsidR="00793FA6" w:rsidRPr="00793FA6" w:rsidRDefault="00793FA6" w:rsidP="00953E4C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103A51C3" w14:textId="705E2934" w:rsidR="00953E4C" w:rsidRPr="00B41A63" w:rsidRDefault="00953E4C" w:rsidP="00953E4C">
      <w:pPr>
        <w:jc w:val="both"/>
        <w:rPr>
          <w:rFonts w:eastAsia="Times New Roman" w:cs="Times New Roman"/>
          <w:szCs w:val="24"/>
          <w:lang w:val="it-IT" w:eastAsia="de-DE"/>
        </w:rPr>
      </w:pPr>
      <w:r w:rsidRPr="00E57EFB">
        <w:rPr>
          <w:szCs w:val="24"/>
          <w:u w:val="single"/>
          <w:lang w:val="it"/>
        </w:rPr>
        <w:t xml:space="preserve">Lotto </w:t>
      </w:r>
      <w:r>
        <w:rPr>
          <w:szCs w:val="24"/>
          <w:u w:val="single"/>
          <w:lang w:val="it"/>
        </w:rPr>
        <w:t>A2</w:t>
      </w:r>
      <w:r>
        <w:rPr>
          <w:szCs w:val="24"/>
          <w:lang w:val="it"/>
        </w:rPr>
        <w:t xml:space="preserve"> con una superficie di </w:t>
      </w:r>
      <w:r w:rsidR="001F69D7">
        <w:rPr>
          <w:szCs w:val="24"/>
          <w:lang w:val="it"/>
        </w:rPr>
        <w:t>178</w:t>
      </w:r>
      <w:r>
        <w:rPr>
          <w:szCs w:val="24"/>
          <w:lang w:val="it"/>
        </w:rPr>
        <w:t xml:space="preserve"> </w:t>
      </w:r>
      <w:r w:rsidR="002D2927">
        <w:rPr>
          <w:szCs w:val="24"/>
          <w:lang w:val="it"/>
        </w:rPr>
        <w:t>mq</w:t>
      </w:r>
      <w:r>
        <w:rPr>
          <w:szCs w:val="24"/>
          <w:lang w:val="it"/>
        </w:rPr>
        <w:t xml:space="preserve"> e </w:t>
      </w:r>
      <w:r w:rsidR="001F69D7">
        <w:rPr>
          <w:szCs w:val="24"/>
          <w:lang w:val="it"/>
        </w:rPr>
        <w:t>532</w:t>
      </w:r>
      <w:r>
        <w:rPr>
          <w:szCs w:val="24"/>
          <w:lang w:val="it"/>
        </w:rPr>
        <w:t xml:space="preserve"> </w:t>
      </w:r>
      <w:r w:rsidR="002D2927">
        <w:rPr>
          <w:szCs w:val="24"/>
          <w:lang w:val="it"/>
        </w:rPr>
        <w:t>mc</w:t>
      </w:r>
      <w:r>
        <w:rPr>
          <w:szCs w:val="24"/>
          <w:lang w:val="it"/>
        </w:rPr>
        <w:t xml:space="preserve"> di cubatura massima </w:t>
      </w:r>
      <w:r w:rsidR="009669F7">
        <w:rPr>
          <w:szCs w:val="24"/>
          <w:lang w:val="it"/>
        </w:rPr>
        <w:t>realizzabile</w:t>
      </w:r>
      <w:r w:rsidR="00114536">
        <w:rPr>
          <w:szCs w:val="24"/>
          <w:lang w:val="it"/>
        </w:rPr>
        <w:t>.</w:t>
      </w:r>
    </w:p>
    <w:p w14:paraId="5ADC7BA7" w14:textId="4E3E35EC" w:rsidR="00953E4C" w:rsidRDefault="00953E4C" w:rsidP="00501824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3A6F09E1" w14:textId="30CD279F" w:rsidR="009669F7" w:rsidRDefault="009669F7" w:rsidP="009669F7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Il prezzo per ogni unità di terreno fabbricabile agevolato, compreso la spettante quota dei costi d’espropriazione delle aree destinate per le infrastrutture, ammonta dopo la detrazione del contributo provinciale </w:t>
      </w:r>
      <w:r>
        <w:rPr>
          <w:lang w:val="it"/>
        </w:rPr>
        <w:t xml:space="preserve">a </w:t>
      </w:r>
      <w:r>
        <w:rPr>
          <w:szCs w:val="24"/>
          <w:lang w:val="it"/>
        </w:rPr>
        <w:t>circa € 5.500,00</w:t>
      </w:r>
      <w:r>
        <w:rPr>
          <w:szCs w:val="24"/>
          <w:lang w:val="it-IT"/>
        </w:rPr>
        <w:t>.</w:t>
      </w:r>
      <w:r>
        <w:rPr>
          <w:lang w:val="it-IT"/>
        </w:rPr>
        <w:t xml:space="preserve"> </w:t>
      </w:r>
      <w:r>
        <w:rPr>
          <w:szCs w:val="24"/>
          <w:lang w:val="it-IT"/>
        </w:rPr>
        <w:t>I costi per le infrastrutture primarie ammontano a ca. € 11.300,00.</w:t>
      </w:r>
    </w:p>
    <w:p w14:paraId="43A77E0B" w14:textId="77777777" w:rsidR="009669F7" w:rsidRPr="00B41A63" w:rsidRDefault="009669F7" w:rsidP="00501824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4D862B73" w14:textId="77777777" w:rsidR="009669F7" w:rsidRDefault="009669F7" w:rsidP="009669F7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szCs w:val="24"/>
          <w:lang w:val="it-IT"/>
        </w:rPr>
        <w:t>Link al piano urbanistico</w:t>
      </w:r>
    </w:p>
    <w:p w14:paraId="2F3DC1E1" w14:textId="77777777" w:rsidR="009669F7" w:rsidRDefault="009669F7" w:rsidP="009669F7">
      <w:pPr>
        <w:jc w:val="both"/>
        <w:rPr>
          <w:rFonts w:eastAsia="Times New Roman" w:cs="Times New Roman"/>
          <w:szCs w:val="24"/>
          <w:lang w:val="it-IT" w:eastAsia="de-DE"/>
        </w:rPr>
      </w:pPr>
      <w:r>
        <w:rPr>
          <w:szCs w:val="24"/>
          <w:lang w:val="it-IT"/>
        </w:rPr>
        <w:t>Link al piano normativo</w:t>
      </w:r>
    </w:p>
    <w:p w14:paraId="69FF9568" w14:textId="0D1396EB" w:rsidR="00D23A9C" w:rsidRPr="00B41A63" w:rsidRDefault="00D23A9C" w:rsidP="00501824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43916A92" w14:textId="77777777" w:rsidR="00D23A9C" w:rsidRPr="00B41A63" w:rsidRDefault="00D23A9C" w:rsidP="00501824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4A611EFC" w14:textId="77777777" w:rsidR="00B92F48" w:rsidRPr="00B41A63" w:rsidRDefault="00B92F48" w:rsidP="00501824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647BBEF1" w14:textId="25938C38" w:rsidR="00EA60D5" w:rsidRPr="00B41A63" w:rsidRDefault="00EA60D5" w:rsidP="00501824">
      <w:pPr>
        <w:jc w:val="both"/>
        <w:rPr>
          <w:rFonts w:eastAsia="Times New Roman" w:cs="Times New Roman"/>
          <w:szCs w:val="24"/>
          <w:lang w:val="it-IT" w:eastAsia="de-DE"/>
        </w:rPr>
      </w:pPr>
      <w:r w:rsidRPr="00EA60D5">
        <w:rPr>
          <w:szCs w:val="24"/>
          <w:lang w:val="it"/>
        </w:rPr>
        <w:t>Tutti gli interessati con i requisiti per l</w:t>
      </w:r>
      <w:r w:rsidR="00A17377">
        <w:rPr>
          <w:szCs w:val="24"/>
          <w:lang w:val="it"/>
        </w:rPr>
        <w:t xml:space="preserve">’ammissione alle agevolazioni edilizie </w:t>
      </w:r>
      <w:r w:rsidRPr="00EA60D5">
        <w:rPr>
          <w:szCs w:val="24"/>
          <w:lang w:val="it"/>
        </w:rPr>
        <w:t>possono quindi presentare</w:t>
      </w:r>
      <w:r w:rsidR="006A297B">
        <w:rPr>
          <w:szCs w:val="24"/>
          <w:lang w:val="it"/>
        </w:rPr>
        <w:t xml:space="preserve"> la propria domanda</w:t>
      </w:r>
      <w:r>
        <w:rPr>
          <w:lang w:val="it"/>
        </w:rPr>
        <w:t xml:space="preserve"> entro tali date</w:t>
      </w:r>
      <w:r w:rsidRPr="00EA60D5">
        <w:rPr>
          <w:szCs w:val="24"/>
          <w:lang w:val="it"/>
        </w:rPr>
        <w:t xml:space="preserve">. Il modello di domanda corrispondente è stato </w:t>
      </w:r>
      <w:r w:rsidR="00A17377">
        <w:rPr>
          <w:szCs w:val="24"/>
          <w:lang w:val="it"/>
        </w:rPr>
        <w:t>aggiornato</w:t>
      </w:r>
      <w:r w:rsidRPr="00EA60D5">
        <w:rPr>
          <w:szCs w:val="24"/>
          <w:lang w:val="it"/>
        </w:rPr>
        <w:t xml:space="preserve"> alle</w:t>
      </w:r>
      <w:r w:rsidR="00A17377">
        <w:rPr>
          <w:szCs w:val="24"/>
          <w:lang w:val="it"/>
        </w:rPr>
        <w:t xml:space="preserve"> nuove </w:t>
      </w:r>
      <w:r w:rsidRPr="00EA60D5">
        <w:rPr>
          <w:szCs w:val="24"/>
          <w:lang w:val="it"/>
        </w:rPr>
        <w:t xml:space="preserve">disposizioni </w:t>
      </w:r>
      <w:r w:rsidR="00A17377">
        <w:rPr>
          <w:szCs w:val="24"/>
          <w:lang w:val="it"/>
        </w:rPr>
        <w:t>di legge</w:t>
      </w:r>
      <w:r w:rsidRPr="00EA60D5">
        <w:rPr>
          <w:szCs w:val="24"/>
          <w:lang w:val="it"/>
        </w:rPr>
        <w:t>.</w:t>
      </w:r>
    </w:p>
    <w:p w14:paraId="7925364D" w14:textId="77777777" w:rsidR="00B92F48" w:rsidRPr="00B41A63" w:rsidRDefault="00B92F48" w:rsidP="00501824">
      <w:pPr>
        <w:jc w:val="both"/>
        <w:rPr>
          <w:rFonts w:eastAsia="Times New Roman" w:cs="Times New Roman"/>
          <w:szCs w:val="24"/>
          <w:lang w:val="it-IT" w:eastAsia="de-DE"/>
        </w:rPr>
      </w:pPr>
    </w:p>
    <w:p w14:paraId="7A590FE5" w14:textId="53BDE615" w:rsidR="00EA60D5" w:rsidRPr="00B41A63" w:rsidRDefault="00EA60D5" w:rsidP="00501824">
      <w:pPr>
        <w:jc w:val="both"/>
        <w:rPr>
          <w:rFonts w:eastAsia="Times New Roman" w:cs="Times New Roman"/>
          <w:szCs w:val="24"/>
          <w:lang w:val="it-IT" w:eastAsia="de-DE"/>
        </w:rPr>
      </w:pPr>
      <w:r w:rsidRPr="00EA60D5">
        <w:rPr>
          <w:szCs w:val="24"/>
          <w:lang w:val="it"/>
        </w:rPr>
        <w:t xml:space="preserve">I richiedenti e tutti i membri della loro comunità familiare </w:t>
      </w:r>
      <w:r w:rsidR="00B92F48">
        <w:rPr>
          <w:szCs w:val="24"/>
          <w:lang w:val="it"/>
        </w:rPr>
        <w:t xml:space="preserve">devono </w:t>
      </w:r>
      <w:r w:rsidRPr="00EA60D5">
        <w:rPr>
          <w:szCs w:val="24"/>
          <w:lang w:val="it"/>
        </w:rPr>
        <w:t xml:space="preserve">presentare le dichiarazioni </w:t>
      </w:r>
      <w:r w:rsidR="00A17377">
        <w:rPr>
          <w:szCs w:val="24"/>
          <w:lang w:val="it"/>
        </w:rPr>
        <w:t>DURP</w:t>
      </w:r>
      <w:r w:rsidRPr="00EA60D5">
        <w:rPr>
          <w:szCs w:val="24"/>
          <w:lang w:val="it"/>
        </w:rPr>
        <w:t xml:space="preserve"> </w:t>
      </w:r>
      <w:r w:rsidR="00A17377" w:rsidRPr="00A17377">
        <w:rPr>
          <w:szCs w:val="24"/>
          <w:lang w:val="it"/>
        </w:rPr>
        <w:t>dei due anni antecedenti alla presentazione della domanda</w:t>
      </w:r>
      <w:r w:rsidR="00A17377">
        <w:rPr>
          <w:szCs w:val="24"/>
          <w:lang w:val="it"/>
        </w:rPr>
        <w:t xml:space="preserve"> </w:t>
      </w:r>
      <w:r w:rsidRPr="00EA60D5">
        <w:rPr>
          <w:szCs w:val="24"/>
          <w:lang w:val="it"/>
        </w:rPr>
        <w:t>al fine di determinare la loro situazione economica. Tali dichiarazioni possono essere redatte gratuitamente presso i centri di assistenza autorizzati.</w:t>
      </w:r>
    </w:p>
    <w:p w14:paraId="22A1FFF9" w14:textId="732BC0A1" w:rsidR="00DA449D" w:rsidRPr="00B41A63" w:rsidRDefault="00DA449D" w:rsidP="00501824">
      <w:pPr>
        <w:rPr>
          <w:lang w:val="it-IT"/>
        </w:rPr>
      </w:pPr>
    </w:p>
    <w:sectPr w:rsidR="00DA449D" w:rsidRPr="00B41A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793F"/>
    <w:multiLevelType w:val="multilevel"/>
    <w:tmpl w:val="839E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C7204"/>
    <w:multiLevelType w:val="multilevel"/>
    <w:tmpl w:val="A158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0407506">
    <w:abstractNumId w:val="1"/>
  </w:num>
  <w:num w:numId="2" w16cid:durableId="201217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D5"/>
    <w:rsid w:val="00015F40"/>
    <w:rsid w:val="000459ED"/>
    <w:rsid w:val="000B470A"/>
    <w:rsid w:val="00102D1F"/>
    <w:rsid w:val="00114536"/>
    <w:rsid w:val="00151467"/>
    <w:rsid w:val="001A41B5"/>
    <w:rsid w:val="001E202D"/>
    <w:rsid w:val="001F69D7"/>
    <w:rsid w:val="002007BE"/>
    <w:rsid w:val="002D2927"/>
    <w:rsid w:val="002D71E6"/>
    <w:rsid w:val="002E2ADA"/>
    <w:rsid w:val="00366FAC"/>
    <w:rsid w:val="003742A4"/>
    <w:rsid w:val="00390E59"/>
    <w:rsid w:val="0040656A"/>
    <w:rsid w:val="00427CDA"/>
    <w:rsid w:val="00437C6A"/>
    <w:rsid w:val="00443D76"/>
    <w:rsid w:val="00501824"/>
    <w:rsid w:val="0056408F"/>
    <w:rsid w:val="005B1E17"/>
    <w:rsid w:val="00666B60"/>
    <w:rsid w:val="006A297B"/>
    <w:rsid w:val="00777F7D"/>
    <w:rsid w:val="00793FA6"/>
    <w:rsid w:val="007F526C"/>
    <w:rsid w:val="0083449F"/>
    <w:rsid w:val="00916215"/>
    <w:rsid w:val="00953E4C"/>
    <w:rsid w:val="009669F7"/>
    <w:rsid w:val="0097283D"/>
    <w:rsid w:val="00974C5A"/>
    <w:rsid w:val="009A603F"/>
    <w:rsid w:val="009B2CF0"/>
    <w:rsid w:val="00A17377"/>
    <w:rsid w:val="00A84BB1"/>
    <w:rsid w:val="00AB6F28"/>
    <w:rsid w:val="00AE4D86"/>
    <w:rsid w:val="00B41A63"/>
    <w:rsid w:val="00B45696"/>
    <w:rsid w:val="00B92F48"/>
    <w:rsid w:val="00BF6701"/>
    <w:rsid w:val="00CB2BAA"/>
    <w:rsid w:val="00CC6ED2"/>
    <w:rsid w:val="00CD131B"/>
    <w:rsid w:val="00D02E88"/>
    <w:rsid w:val="00D11FF5"/>
    <w:rsid w:val="00D22F20"/>
    <w:rsid w:val="00D23A9C"/>
    <w:rsid w:val="00D43420"/>
    <w:rsid w:val="00D87DD9"/>
    <w:rsid w:val="00DA2CAA"/>
    <w:rsid w:val="00DA449D"/>
    <w:rsid w:val="00E57EFB"/>
    <w:rsid w:val="00EA60D5"/>
    <w:rsid w:val="00F7387C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8E09"/>
  <w15:chartTrackingRefBased/>
  <w15:docId w15:val="{9B6A320E-3EDF-4210-828A-C1EFBE4F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6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FA6"/>
  </w:style>
  <w:style w:type="paragraph" w:styleId="berschrift1">
    <w:name w:val="heading 1"/>
    <w:basedOn w:val="Standard"/>
    <w:link w:val="berschrift1Zchn"/>
    <w:uiPriority w:val="9"/>
    <w:qFormat/>
    <w:rsid w:val="00EA60D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60D5"/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EA60D5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A60D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A60D5"/>
    <w:rPr>
      <w:b/>
      <w:bCs/>
    </w:rPr>
  </w:style>
  <w:style w:type="character" w:styleId="Hervorhebung">
    <w:name w:val="Emphasis"/>
    <w:basedOn w:val="Absatz-Standardschriftart"/>
    <w:uiPriority w:val="20"/>
    <w:qFormat/>
    <w:rsid w:val="00EA60D5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B41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incia.bz.it/it/servizi-a-z.asp?bnsv_svid=10329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xbrowser.provinz.bz.it/doc/it/lp-1998-13/legge_provinciale17_dicembre_1998_n_13.aspx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Gruber Mairamhof</dc:creator>
  <cp:keywords/>
  <dc:description/>
  <cp:lastModifiedBy>Alexander Steger</cp:lastModifiedBy>
  <cp:revision>2</cp:revision>
  <cp:lastPrinted>2022-06-01T08:13:00Z</cp:lastPrinted>
  <dcterms:created xsi:type="dcterms:W3CDTF">2024-01-22T10:43:00Z</dcterms:created>
  <dcterms:modified xsi:type="dcterms:W3CDTF">2024-01-22T10:43:00Z</dcterms:modified>
  <cp:category/>
</cp:coreProperties>
</file>